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2.0.0 -->
  <w:body>
    <w:p w:rsidR="00A77B3E">
      <w:pPr>
        <w:keepLines w:val="0"/>
        <w:spacing w:after="400"/>
        <w:ind w:firstLine="160"/>
        <w:jc w:val="center"/>
      </w:pPr>
      <w:r>
        <w:rPr>
          <w:b/>
          <w:sz w:val="32"/>
        </w:rPr>
        <w:t>5月26日每日一练</w:t>
      </w:r>
    </w:p>
    <w:p w:rsidR="00A77B3E">
      <w:pPr>
        <w:rPr>
          <w:b/>
          <w:sz w:val="32"/>
        </w:rPr>
      </w:pPr>
      <w:r>
        <w:rPr>
          <w:b w:val="0"/>
          <w:color w:val="000000"/>
          <w:sz w:val="24"/>
        </w:rPr>
        <w:t>1.课外、校外教育是引导学生接触社会、理解社会的重要途径，是促进学生全面发展的必要形式。下列关于课外、校外教育的说法错误的是( )。</w:t>
      </w:r>
      <w:r>
        <w:rPr>
          <w:b w:val="0"/>
          <w:color w:val="000000"/>
          <w:sz w:val="24"/>
        </w:rPr>
        <w:t xml:space="preserve">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A.课外、校外教育的内容包括学科活动、选修课和自习课、思想品德教育活动等</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9</w:t>
            </w:r>
          </w:p>
        </w:tc>
        <w:tc>
          <w:tcPr>
            <w:shd w:val="clear" w:color="auto" w:fill="FFFFFF"/>
            <w:vAlign w:val="center"/>
          </w:tcPr>
          <w:p>
            <w:pPr>
              <w:bidi w:val="0"/>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9pt;width:50.26pt">
                  <v:imagedata r:id="rId4" o:title=""/>
                </v:shape>
              </w:pict>
            </w:r>
            <w:r>
              <w:pict>
                <v:shape id="_x0000_i1026" type="#_x0000_t75" style="height:9pt;width:56.26pt">
                  <v:imagedata r:id="rId5" o:title=""/>
                </v:shape>
              </w:pict>
            </w:r>
            <w:r>
              <w:t>47.37%</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B.课外、校外教育的组织形式有群众性活动、个别活动和小组活动等</w:t>
            </w:r>
          </w:p>
        </w:tc>
        <w:tc>
          <w:tcPr>
            <w:shd w:val="clear" w:color="auto" w:fill="F9F9F9"/>
            <w:vAlign w:val="center"/>
          </w:tcPr>
          <w:p>
            <w:pPr>
              <w:bidi w:val="0"/>
              <w:jc w:val="center"/>
            </w:pPr>
            <w:r>
              <w:t>2</w:t>
            </w:r>
          </w:p>
        </w:tc>
        <w:tc>
          <w:tcPr>
            <w:shd w:val="clear" w:color="auto" w:fill="F9F9F9"/>
            <w:vAlign w:val="center"/>
          </w:tcPr>
          <w:p>
            <w:pPr>
              <w:bidi w:val="0"/>
              <w:jc w:val="left"/>
            </w:pPr>
            <w:r>
              <w:pict>
                <v:shape id="_x0000_i1027" type="#_x0000_t75" style="height:9pt;width:10.5pt">
                  <v:imagedata r:id="rId6" o:title=""/>
                </v:shape>
              </w:pict>
            </w:r>
            <w:r>
              <w:pict>
                <v:shape id="_x0000_i1028" type="#_x0000_t75" style="height:9pt;width:96.01pt">
                  <v:imagedata r:id="rId7" o:title=""/>
                </v:shape>
              </w:pict>
            </w:r>
            <w:r>
              <w:t>10.53%</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C.课外、校外教育不是课堂教学活动的延伸，它在学生发展过程中有其本体性功能</w:t>
            </w:r>
          </w:p>
        </w:tc>
        <w:tc>
          <w:tcPr>
            <w:shd w:val="clear" w:color="auto" w:fill="FFFFFF"/>
            <w:vAlign w:val="center"/>
          </w:tcPr>
          <w:p>
            <w:pPr>
              <w:bidi w:val="0"/>
              <w:jc w:val="center"/>
            </w:pPr>
            <w:r>
              <w:t>7</w:t>
            </w:r>
          </w:p>
        </w:tc>
        <w:tc>
          <w:tcPr>
            <w:shd w:val="clear" w:color="auto" w:fill="FFFFFF"/>
            <w:vAlign w:val="center"/>
          </w:tcPr>
          <w:p>
            <w:pPr>
              <w:bidi w:val="0"/>
              <w:jc w:val="left"/>
            </w:pPr>
            <w:r>
              <w:pict>
                <v:shape id="_x0000_i1029" type="#_x0000_t75" style="height:9pt;width:39.01pt">
                  <v:imagedata r:id="rId8" o:title=""/>
                </v:shape>
              </w:pict>
            </w:r>
            <w:r>
              <w:pict>
                <v:shape id="_x0000_i1030" type="#_x0000_t75" style="height:9pt;width:67.51pt">
                  <v:imagedata r:id="rId9" o:title=""/>
                </v:shape>
              </w:pict>
            </w:r>
            <w:r>
              <w:t>36.84%</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D.课外、校外教育是课程计划和学科课程标准以外的教育活动</w:t>
            </w:r>
          </w:p>
        </w:tc>
        <w:tc>
          <w:tcPr>
            <w:shd w:val="clear" w:color="auto" w:fill="F9F9F9"/>
            <w:vAlign w:val="center"/>
          </w:tcPr>
          <w:p>
            <w:pPr>
              <w:bidi w:val="0"/>
              <w:jc w:val="center"/>
            </w:pPr>
            <w:r>
              <w:t>1</w:t>
            </w:r>
          </w:p>
        </w:tc>
        <w:tc>
          <w:tcPr>
            <w:shd w:val="clear" w:color="auto" w:fill="F9F9F9"/>
            <w:vAlign w:val="center"/>
          </w:tcPr>
          <w:p>
            <w:pPr>
              <w:bidi w:val="0"/>
              <w:jc w:val="left"/>
            </w:pPr>
            <w:r>
              <w:pict>
                <v:shape id="_x0000_i1031" type="#_x0000_t75" style="height:9pt;width:5.25pt">
                  <v:imagedata r:id="rId10" o:title=""/>
                </v:shape>
              </w:pict>
            </w:r>
            <w:r>
              <w:pict>
                <v:shape id="_x0000_i1032" type="#_x0000_t75" style="height:9pt;width:101.26pt">
                  <v:imagedata r:id="rId11" o:title=""/>
                </v:shape>
              </w:pict>
            </w:r>
            <w:r>
              <w:t>5.26%</w:t>
            </w:r>
          </w:p>
        </w:tc>
      </w:tr>
    </w:tbl>
    <w:p>
      <w:pPr>
        <w:bidi w:val="0"/>
      </w:pPr>
      <w:r>
        <w:rPr>
          <w:rStyle w:val="DefaultParagraphFont"/>
          <w:bdr w:val="nil"/>
          <w:rtl w:val="0"/>
        </w:rPr>
        <w:t>正确率：</w:t>
      </w:r>
      <w:r>
        <w:rPr>
          <w:rStyle w:val="DefaultParagraphFont"/>
          <w:color w:val="FF6600"/>
          <w:bdr w:val="nil"/>
          <w:rtl w:val="0"/>
        </w:rPr>
        <w:t>47.37%</w:t>
      </w:r>
    </w:p>
    <w:p>
      <w:pPr>
        <w:bidi w:val="0"/>
      </w:pPr>
    </w:p>
    <w:p>
      <w:pPr>
        <w:bidi w:val="0"/>
      </w:pPr>
    </w:p>
    <w:p>
      <w:pPr>
        <w:bidi w:val="0"/>
      </w:pPr>
      <w:r>
        <w:rPr>
          <w:b w:val="0"/>
          <w:color w:val="000000"/>
          <w:sz w:val="24"/>
        </w:rPr>
        <w:t>2.《国家中长期教育改革和发展规划纲要(2010-2020年)》立足社会主义初级阶段基本国情，把握教育发展的阶段性特征，对促进教育全面协调可持续发展具有推动作用。其中关于工作方针的说法正确的是(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A.把育人为本作为教育改革的核心任务</w:t>
            </w:r>
          </w:p>
        </w:tc>
        <w:tc>
          <w:tcPr>
            <w:shd w:val="clear" w:color="auto" w:fill="FFFFFF"/>
            <w:vAlign w:val="center"/>
          </w:tcPr>
          <w:p>
            <w:pPr>
              <w:bidi w:val="0"/>
              <w:jc w:val="center"/>
            </w:pPr>
            <w:r>
              <w:t>2</w:t>
            </w:r>
          </w:p>
        </w:tc>
        <w:tc>
          <w:tcPr>
            <w:shd w:val="clear" w:color="auto" w:fill="FFFFFF"/>
            <w:vAlign w:val="center"/>
          </w:tcPr>
          <w:p>
            <w:pPr>
              <w:bidi w:val="0"/>
              <w:jc w:val="left"/>
            </w:pPr>
            <w:r>
              <w:pict>
                <v:shape id="_x0000_i1033" type="#_x0000_t75" style="height:9pt;width:10.5pt">
                  <v:imagedata r:id="rId6" o:title=""/>
                </v:shape>
              </w:pict>
            </w:r>
            <w:r>
              <w:pict>
                <v:shape id="_x0000_i1034" type="#_x0000_t75" style="height:9pt;width:96.01pt">
                  <v:imagedata r:id="rId7" o:title=""/>
                </v:shape>
              </w:pict>
            </w:r>
            <w:r>
              <w:t>10.53%</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B.把改革创新作为教育发展的强大动力</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11</w:t>
            </w:r>
          </w:p>
        </w:tc>
        <w:tc>
          <w:tcPr>
            <w:shd w:val="clear" w:color="auto" w:fill="F9F9F9"/>
            <w:vAlign w:val="center"/>
          </w:tcPr>
          <w:p>
            <w:pPr>
              <w:bidi w:val="0"/>
              <w:jc w:val="left"/>
            </w:pPr>
            <w:r>
              <w:pict>
                <v:shape id="_x0000_i1035" type="#_x0000_t75" style="height:9pt;width:61.51pt">
                  <v:imagedata r:id="rId12" o:title=""/>
                </v:shape>
              </w:pict>
            </w:r>
            <w:r>
              <w:pict>
                <v:shape id="_x0000_i1036" type="#_x0000_t75" style="height:9pt;width:45.01pt">
                  <v:imagedata r:id="rId13" o:title=""/>
                </v:shape>
              </w:pict>
            </w:r>
            <w:r>
              <w:t>57.89%</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C.把提高质量作为教育改革的根本要求</w:t>
            </w:r>
          </w:p>
        </w:tc>
        <w:tc>
          <w:tcPr>
            <w:shd w:val="clear" w:color="auto" w:fill="FFFFFF"/>
            <w:vAlign w:val="center"/>
          </w:tcPr>
          <w:p>
            <w:pPr>
              <w:bidi w:val="0"/>
              <w:jc w:val="center"/>
            </w:pPr>
            <w:r>
              <w:t>1</w:t>
            </w:r>
          </w:p>
        </w:tc>
        <w:tc>
          <w:tcPr>
            <w:shd w:val="clear" w:color="auto" w:fill="FFFFFF"/>
            <w:vAlign w:val="center"/>
          </w:tcPr>
          <w:p>
            <w:pPr>
              <w:bidi w:val="0"/>
              <w:jc w:val="left"/>
            </w:pPr>
            <w:r>
              <w:pict>
                <v:shape id="_x0000_i1037" type="#_x0000_t75" style="height:9pt;width:5.25pt">
                  <v:imagedata r:id="rId10" o:title=""/>
                </v:shape>
              </w:pict>
            </w:r>
            <w:r>
              <w:pict>
                <v:shape id="_x0000_i1038" type="#_x0000_t75" style="height:9pt;width:101.26pt">
                  <v:imagedata r:id="rId11" o:title=""/>
                </v:shape>
              </w:pict>
            </w:r>
            <w:r>
              <w:t>5.26%</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D.把全面可持续发展作为国家的基本教育政策</w:t>
            </w:r>
          </w:p>
        </w:tc>
        <w:tc>
          <w:tcPr>
            <w:shd w:val="clear" w:color="auto" w:fill="F9F9F9"/>
            <w:vAlign w:val="center"/>
          </w:tcPr>
          <w:p>
            <w:pPr>
              <w:bidi w:val="0"/>
              <w:jc w:val="center"/>
            </w:pPr>
            <w:r>
              <w:t>5</w:t>
            </w:r>
          </w:p>
        </w:tc>
        <w:tc>
          <w:tcPr>
            <w:shd w:val="clear" w:color="auto" w:fill="F9F9F9"/>
            <w:vAlign w:val="center"/>
          </w:tcPr>
          <w:p>
            <w:pPr>
              <w:bidi w:val="0"/>
              <w:jc w:val="left"/>
            </w:pPr>
            <w:r>
              <w:pict>
                <v:shape id="_x0000_i1039" type="#_x0000_t75" style="height:9pt;width:27.75pt">
                  <v:imagedata r:id="rId14" o:title=""/>
                </v:shape>
              </w:pict>
            </w:r>
            <w:r>
              <w:pict>
                <v:shape id="_x0000_i1040" type="#_x0000_t75" style="height:9pt;width:78.76pt">
                  <v:imagedata r:id="rId15" o:title=""/>
                </v:shape>
              </w:pict>
            </w:r>
            <w:r>
              <w:t>26.32%</w:t>
            </w:r>
          </w:p>
        </w:tc>
      </w:tr>
    </w:tbl>
    <w:p>
      <w:pPr>
        <w:bidi w:val="0"/>
      </w:pPr>
      <w:r>
        <w:rPr>
          <w:rStyle w:val="DefaultParagraphFont"/>
          <w:bdr w:val="nil"/>
          <w:rtl w:val="0"/>
        </w:rPr>
        <w:t>正确率：</w:t>
      </w:r>
      <w:r>
        <w:rPr>
          <w:rStyle w:val="DefaultParagraphFont"/>
          <w:color w:val="FF6600"/>
          <w:bdr w:val="nil"/>
          <w:rtl w:val="0"/>
        </w:rPr>
        <w:t>57.89%</w:t>
      </w:r>
    </w:p>
    <w:p>
      <w:pPr>
        <w:bidi w:val="0"/>
      </w:pPr>
    </w:p>
    <w:p>
      <w:pPr>
        <w:bidi w:val="0"/>
      </w:pPr>
    </w:p>
    <w:p>
      <w:pPr>
        <w:bidi w:val="0"/>
      </w:pPr>
      <w:r>
        <w:rPr>
          <w:b w:val="0"/>
          <w:color w:val="000000"/>
          <w:sz w:val="24"/>
        </w:rPr>
        <w:t>3.心理健康是个体具有生命力、积极内心体验以及良好社会适应能力的表现。下列关于心理健康的标准理解错误的是(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A.心理健康有高低层次之分</w:t>
            </w:r>
          </w:p>
        </w:tc>
        <w:tc>
          <w:tcPr>
            <w:shd w:val="clear" w:color="auto" w:fill="FFFFFF"/>
            <w:vAlign w:val="center"/>
          </w:tcPr>
          <w:p>
            <w:pPr>
              <w:bidi w:val="0"/>
              <w:jc w:val="center"/>
            </w:pPr>
            <w:r>
              <w:t>8</w:t>
            </w:r>
          </w:p>
        </w:tc>
        <w:tc>
          <w:tcPr>
            <w:shd w:val="clear" w:color="auto" w:fill="FFFFFF"/>
            <w:vAlign w:val="center"/>
          </w:tcPr>
          <w:p>
            <w:pPr>
              <w:bidi w:val="0"/>
              <w:jc w:val="left"/>
            </w:pPr>
            <w:r>
              <w:pict>
                <v:shape id="_x0000_i1041" type="#_x0000_t75" style="height:9pt;width:44.26pt">
                  <v:imagedata r:id="rId16" o:title=""/>
                </v:shape>
              </w:pict>
            </w:r>
            <w:r>
              <w:pict>
                <v:shape id="_x0000_i1042" type="#_x0000_t75" style="height:9pt;width:62.26pt">
                  <v:imagedata r:id="rId17" o:title=""/>
                </v:shape>
              </w:pict>
            </w:r>
            <w:r>
              <w:t>42.11%</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B.心理健康是动态变化的</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43" type="#_x0000_t75" style="height:9pt;width:106.51pt">
                  <v:imagedata r:id="rId18" o:title=""/>
                </v:shape>
              </w:pict>
            </w:r>
            <w:r>
              <w:t>0%</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C.心理健康与否，从某种程度上说是社会评价问题</w:t>
            </w:r>
          </w:p>
        </w:tc>
        <w:tc>
          <w:tcPr>
            <w:shd w:val="clear" w:color="auto" w:fill="FFFFFF"/>
            <w:vAlign w:val="center"/>
          </w:tcPr>
          <w:p>
            <w:pPr>
              <w:bidi w:val="0"/>
              <w:jc w:val="center"/>
            </w:pPr>
            <w:r>
              <w:t>7</w:t>
            </w:r>
          </w:p>
        </w:tc>
        <w:tc>
          <w:tcPr>
            <w:shd w:val="clear" w:color="auto" w:fill="FFFFFF"/>
            <w:vAlign w:val="center"/>
          </w:tcPr>
          <w:p>
            <w:pPr>
              <w:bidi w:val="0"/>
              <w:jc w:val="left"/>
            </w:pPr>
            <w:r>
              <w:pict>
                <v:shape id="_x0000_i1044" type="#_x0000_t75" style="height:9pt;width:39.01pt">
                  <v:imagedata r:id="rId8" o:title=""/>
                </v:shape>
              </w:pict>
            </w:r>
            <w:r>
              <w:pict>
                <v:shape id="_x0000_i1045" type="#_x0000_t75" style="height:9pt;width:67.51pt">
                  <v:imagedata r:id="rId9" o:title=""/>
                </v:shape>
              </w:pict>
            </w:r>
            <w:r>
              <w:t>36.84%</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D.人的健康水平大致可以分为一般常态心理，人格障碍心理，严重病态心理</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4</w:t>
            </w:r>
          </w:p>
        </w:tc>
        <w:tc>
          <w:tcPr>
            <w:shd w:val="clear" w:color="auto" w:fill="F9F9F9"/>
            <w:vAlign w:val="center"/>
          </w:tcPr>
          <w:p>
            <w:pPr>
              <w:bidi w:val="0"/>
              <w:jc w:val="left"/>
            </w:pPr>
            <w:r>
              <w:pict>
                <v:shape id="_x0000_i1046" type="#_x0000_t75" style="height:9pt;width:21.75pt">
                  <v:imagedata r:id="rId19" o:title=""/>
                </v:shape>
              </w:pict>
            </w:r>
            <w:r>
              <w:pict>
                <v:shape id="_x0000_i1047" type="#_x0000_t75" style="height:9pt;width:84.76pt">
                  <v:imagedata r:id="rId20" o:title=""/>
                </v:shape>
              </w:pict>
            </w:r>
            <w:r>
              <w:t>21.05%</w:t>
            </w:r>
          </w:p>
        </w:tc>
      </w:tr>
    </w:tbl>
    <w:p>
      <w:pPr>
        <w:bidi w:val="0"/>
      </w:pPr>
      <w:r>
        <w:rPr>
          <w:rStyle w:val="DefaultParagraphFont"/>
          <w:bdr w:val="nil"/>
          <w:rtl w:val="0"/>
        </w:rPr>
        <w:t>正确率：</w:t>
      </w:r>
      <w:r>
        <w:rPr>
          <w:rStyle w:val="DefaultParagraphFont"/>
          <w:color w:val="FF6600"/>
          <w:bdr w:val="nil"/>
          <w:rtl w:val="0"/>
        </w:rPr>
        <w:t>21.05%</w:t>
      </w:r>
    </w:p>
    <w:p>
      <w:pPr>
        <w:bidi w:val="0"/>
      </w:pPr>
    </w:p>
    <w:p>
      <w:pPr>
        <w:bidi w:val="0"/>
      </w:pPr>
    </w:p>
    <w:p>
      <w:pPr>
        <w:bidi w:val="0"/>
      </w:pPr>
      <w:r>
        <w:rPr>
          <w:b w:val="0"/>
          <w:color w:val="000000"/>
          <w:sz w:val="24"/>
        </w:rPr>
        <w:t>4.《中华人民共和国义务教育法》第五条规定，“各级人民政府及其有关部门应当履行本法规定的各项职责，保障适龄儿童、少年接受义务教育的权利。适龄儿童、少年的父母或者其他法定监护人应当依法保证其按时入学接受并完成义务教育”。上述法律规范属于(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A.授权性规范</w:t>
            </w:r>
          </w:p>
        </w:tc>
        <w:tc>
          <w:tcPr>
            <w:shd w:val="clear" w:color="auto" w:fill="FFFFFF"/>
            <w:vAlign w:val="center"/>
          </w:tcPr>
          <w:p>
            <w:pPr>
              <w:bidi w:val="0"/>
              <w:jc w:val="center"/>
            </w:pPr>
            <w:r>
              <w:t>1</w:t>
            </w:r>
          </w:p>
        </w:tc>
        <w:tc>
          <w:tcPr>
            <w:shd w:val="clear" w:color="auto" w:fill="FFFFFF"/>
            <w:vAlign w:val="center"/>
          </w:tcPr>
          <w:p>
            <w:pPr>
              <w:bidi w:val="0"/>
              <w:jc w:val="left"/>
            </w:pPr>
            <w:r>
              <w:pict>
                <v:shape id="_x0000_i1048" type="#_x0000_t75" style="height:9pt;width:5.25pt">
                  <v:imagedata r:id="rId10" o:title=""/>
                </v:shape>
              </w:pict>
            </w:r>
            <w:r>
              <w:pict>
                <v:shape id="_x0000_i1049" type="#_x0000_t75" style="height:9pt;width:101.26pt">
                  <v:imagedata r:id="rId11" o:title=""/>
                </v:shape>
              </w:pict>
            </w:r>
            <w:r>
              <w:t>5.26%</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B.禁止性规范</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50" type="#_x0000_t75" style="height:9pt;width:106.51pt">
                  <v:imagedata r:id="rId18" o:title=""/>
                </v:shape>
              </w:pict>
            </w:r>
            <w:r>
              <w:t>0%</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C.义务性规范</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7</w:t>
            </w:r>
          </w:p>
        </w:tc>
        <w:tc>
          <w:tcPr>
            <w:shd w:val="clear" w:color="auto" w:fill="FFFFFF"/>
            <w:vAlign w:val="center"/>
          </w:tcPr>
          <w:p>
            <w:pPr>
              <w:bidi w:val="0"/>
              <w:jc w:val="left"/>
            </w:pPr>
            <w:r>
              <w:pict>
                <v:shape id="_x0000_i1051" type="#_x0000_t75" style="height:9pt;width:39.01pt">
                  <v:imagedata r:id="rId8" o:title=""/>
                </v:shape>
              </w:pict>
            </w:r>
            <w:r>
              <w:pict>
                <v:shape id="_x0000_i1052" type="#_x0000_t75" style="height:9pt;width:67.51pt">
                  <v:imagedata r:id="rId9" o:title=""/>
                </v:shape>
              </w:pict>
            </w:r>
            <w:r>
              <w:t>36.84%</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D.强制性规范</w:t>
            </w:r>
          </w:p>
        </w:tc>
        <w:tc>
          <w:tcPr>
            <w:shd w:val="clear" w:color="auto" w:fill="F9F9F9"/>
            <w:vAlign w:val="center"/>
          </w:tcPr>
          <w:p>
            <w:pPr>
              <w:bidi w:val="0"/>
              <w:jc w:val="center"/>
            </w:pPr>
            <w:r>
              <w:t>11</w:t>
            </w:r>
          </w:p>
        </w:tc>
        <w:tc>
          <w:tcPr>
            <w:shd w:val="clear" w:color="auto" w:fill="F9F9F9"/>
            <w:vAlign w:val="center"/>
          </w:tcPr>
          <w:p>
            <w:pPr>
              <w:bidi w:val="0"/>
              <w:jc w:val="left"/>
            </w:pPr>
            <w:r>
              <w:pict>
                <v:shape id="_x0000_i1053" type="#_x0000_t75" style="height:9pt;width:61.51pt">
                  <v:imagedata r:id="rId12" o:title=""/>
                </v:shape>
              </w:pict>
            </w:r>
            <w:r>
              <w:pict>
                <v:shape id="_x0000_i1054" type="#_x0000_t75" style="height:9pt;width:45.01pt">
                  <v:imagedata r:id="rId13" o:title=""/>
                </v:shape>
              </w:pict>
            </w:r>
            <w:r>
              <w:t>57.89%</w:t>
            </w:r>
          </w:p>
        </w:tc>
      </w:tr>
    </w:tbl>
    <w:p>
      <w:pPr>
        <w:bidi w:val="0"/>
      </w:pPr>
      <w:r>
        <w:rPr>
          <w:rStyle w:val="DefaultParagraphFont"/>
          <w:bdr w:val="nil"/>
          <w:rtl w:val="0"/>
        </w:rPr>
        <w:t>正确率：</w:t>
      </w:r>
      <w:r>
        <w:rPr>
          <w:rStyle w:val="DefaultParagraphFont"/>
          <w:color w:val="FF6600"/>
          <w:bdr w:val="nil"/>
          <w:rtl w:val="0"/>
        </w:rPr>
        <w:t>36.84%</w:t>
      </w:r>
    </w:p>
    <w:p>
      <w:pPr>
        <w:bidi w:val="0"/>
      </w:pPr>
    </w:p>
    <w:p>
      <w:pPr>
        <w:bidi w:val="0"/>
      </w:pPr>
    </w:p>
    <w:p>
      <w:pPr>
        <w:bidi w:val="0"/>
      </w:pPr>
      <w:r>
        <w:rPr>
          <w:b w:val="0"/>
          <w:color w:val="000000"/>
          <w:sz w:val="24"/>
        </w:rPr>
        <w:t>5.根据中小学生心理发展的阶段特征，下列行为可能是小学生小刚的表现的是(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A.“心理断乳期”或危险期</w:t>
            </w:r>
          </w:p>
        </w:tc>
        <w:tc>
          <w:tcPr>
            <w:shd w:val="clear" w:color="auto" w:fill="FFFFFF"/>
            <w:vAlign w:val="center"/>
          </w:tcPr>
          <w:p>
            <w:pPr>
              <w:bidi w:val="0"/>
              <w:jc w:val="center"/>
            </w:pPr>
            <w:r>
              <w:t>7</w:t>
            </w:r>
          </w:p>
        </w:tc>
        <w:tc>
          <w:tcPr>
            <w:shd w:val="clear" w:color="auto" w:fill="FFFFFF"/>
            <w:vAlign w:val="center"/>
          </w:tcPr>
          <w:p>
            <w:pPr>
              <w:bidi w:val="0"/>
              <w:jc w:val="left"/>
            </w:pPr>
            <w:r>
              <w:pict>
                <v:shape id="_x0000_i1055" type="#_x0000_t75" style="height:9pt;width:39.01pt">
                  <v:imagedata r:id="rId8" o:title=""/>
                </v:shape>
              </w:pict>
            </w:r>
            <w:r>
              <w:pict>
                <v:shape id="_x0000_i1056" type="#_x0000_t75" style="height:9pt;width:67.51pt">
                  <v:imagedata r:id="rId9" o:title=""/>
                </v:shape>
              </w:pict>
            </w:r>
            <w:r>
              <w:t>36.84%</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B.抽象思维已占主导地位</w:t>
            </w:r>
          </w:p>
        </w:tc>
        <w:tc>
          <w:tcPr>
            <w:shd w:val="clear" w:color="auto" w:fill="F9F9F9"/>
            <w:vAlign w:val="center"/>
          </w:tcPr>
          <w:p>
            <w:pPr>
              <w:bidi w:val="0"/>
              <w:jc w:val="center"/>
            </w:pPr>
            <w:r>
              <w:t>1</w:t>
            </w:r>
          </w:p>
        </w:tc>
        <w:tc>
          <w:tcPr>
            <w:shd w:val="clear" w:color="auto" w:fill="F9F9F9"/>
            <w:vAlign w:val="center"/>
          </w:tcPr>
          <w:p>
            <w:pPr>
              <w:bidi w:val="0"/>
              <w:jc w:val="left"/>
            </w:pPr>
            <w:r>
              <w:pict>
                <v:shape id="_x0000_i1057" type="#_x0000_t75" style="height:9pt;width:5.25pt">
                  <v:imagedata r:id="rId10" o:title=""/>
                </v:shape>
              </w:pict>
            </w:r>
            <w:r>
              <w:pict>
                <v:shape id="_x0000_i1058" type="#_x0000_t75" style="height:9pt;width:101.26pt">
                  <v:imagedata r:id="rId11" o:title=""/>
                </v:shape>
              </w:pict>
            </w:r>
            <w:r>
              <w:t>5.26%</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C.不仅能比较客观地看待自我，而且能明确地表达自我</w:t>
            </w:r>
          </w:p>
        </w:tc>
        <w:tc>
          <w:tcPr>
            <w:shd w:val="clear" w:color="auto" w:fill="FFFFFF"/>
            <w:vAlign w:val="center"/>
          </w:tcPr>
          <w:p>
            <w:pPr>
              <w:bidi w:val="0"/>
              <w:jc w:val="center"/>
            </w:pPr>
            <w:r>
              <w:t>2</w:t>
            </w:r>
          </w:p>
        </w:tc>
        <w:tc>
          <w:tcPr>
            <w:shd w:val="clear" w:color="auto" w:fill="FFFFFF"/>
            <w:vAlign w:val="center"/>
          </w:tcPr>
          <w:p>
            <w:pPr>
              <w:bidi w:val="0"/>
              <w:jc w:val="left"/>
            </w:pPr>
            <w:r>
              <w:pict>
                <v:shape id="_x0000_i1059" type="#_x0000_t75" style="height:9pt;width:10.5pt">
                  <v:imagedata r:id="rId6" o:title=""/>
                </v:shape>
              </w:pict>
            </w:r>
            <w:r>
              <w:pict>
                <v:shape id="_x0000_i1060" type="#_x0000_t75" style="height:9pt;width:96.01pt">
                  <v:imagedata r:id="rId7" o:title=""/>
                </v:shape>
              </w:pict>
            </w:r>
            <w:r>
              <w:t>10.53%</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D.学习开始成为主导活动</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9</w:t>
            </w:r>
          </w:p>
        </w:tc>
        <w:tc>
          <w:tcPr>
            <w:shd w:val="clear" w:color="auto" w:fill="F9F9F9"/>
            <w:vAlign w:val="center"/>
          </w:tcPr>
          <w:p>
            <w:pPr>
              <w:bidi w:val="0"/>
              <w:jc w:val="left"/>
            </w:pPr>
            <w:r>
              <w:pict>
                <v:shape id="_x0000_i1061" type="#_x0000_t75" style="height:9pt;width:50.26pt">
                  <v:imagedata r:id="rId4" o:title=""/>
                </v:shape>
              </w:pict>
            </w:r>
            <w:r>
              <w:pict>
                <v:shape id="_x0000_i1062" type="#_x0000_t75" style="height:9pt;width:56.26pt">
                  <v:imagedata r:id="rId5" o:title=""/>
                </v:shape>
              </w:pict>
            </w:r>
            <w:r>
              <w:t>47.37%</w:t>
            </w:r>
          </w:p>
        </w:tc>
      </w:tr>
    </w:tbl>
    <w:p>
      <w:pPr>
        <w:bidi w:val="0"/>
      </w:pPr>
      <w:r>
        <w:rPr>
          <w:rStyle w:val="DefaultParagraphFont"/>
          <w:bdr w:val="nil"/>
          <w:rtl w:val="0"/>
        </w:rPr>
        <w:t>正确率：</w:t>
      </w:r>
      <w:r>
        <w:rPr>
          <w:rStyle w:val="DefaultParagraphFont"/>
          <w:color w:val="FF6600"/>
          <w:bdr w:val="nil"/>
          <w:rtl w:val="0"/>
        </w:rPr>
        <w:t>47.37%</w:t>
      </w:r>
    </w:p>
    <w:p>
      <w:pPr>
        <w:bidi w:val="0"/>
      </w:pPr>
    </w:p>
    <w:p>
      <w:pPr>
        <w:bidi w:val="0"/>
      </w:pPr>
    </w:p>
    <w:p>
      <w:pPr>
        <w:bidi w:val="0"/>
      </w:pPr>
    </w:p>
    <w:sectPr>
      <w:pgSz w:w="16838" w:h="23811"/>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rPr>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